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Campanhas Anúncios</w:t>
      </w:r>
    </w:p>
    <w:p>
      <w:pPr>
        <w:spacing w:after="260"/>
        <w:jc w:val="left"/>
      </w:pPr>
      <w:r>
        <w:rPr>
          <w:i/>
          <w:iCs/>
        </w:rPr>
        <w:t xml:space="preserve">Plano estratégico de anúncios para todo o funil de vendas. • Categoria: Campanha</w:t>
      </w:r>
    </w:p>
    <w:p>
      <w:pPr>
        <w:pStyle w:val="Heading1"/>
        <w:spacing w:after="140" w:before="280"/>
      </w:pPr>
      <w:r>
        <w:t xml:space="preserve">Campanhas de Anúncios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Meta Ads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TOFU: vídeo ou imagem com resultado aspiracional e promessa clara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MOFU: prova social + argumento de transformação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BOFU: oferta direta, garantia e CTA para pagina de vendas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Google Ads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Pesquisa: headlines curtos com intenções de compra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Display: reforço de remarketing com benefícios e provas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Métricas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CTR: melhora com copy teste A/B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CPC: controle de palavras-chave e audiencia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CPA: meta de cost per acquisition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ROAS: comparação de receita versus investimento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2026-08-15T05:55:03.903Z</dcterms:created>
  <dcterms:modified xsi:type="dcterms:W3CDTF">2026-08-15T05:55:03.903Z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