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Newsletter</w:t>
      </w:r>
    </w:p>
    <w:p>
      <w:pPr>
        <w:spacing w:after="260"/>
        <w:jc w:val="left"/>
      </w:pPr>
      <w:r>
        <w:rPr>
          <w:i/>
          <w:iCs/>
        </w:rPr>
        <w:t xml:space="preserve">Estrutura semanal de newsletter. • Categoria: Email</w:t>
      </w:r>
    </w:p>
    <w:p>
      <w:pPr>
        <w:pStyle w:val="Heading1"/>
        <w:spacing w:after="140" w:before="280"/>
      </w:pPr>
      <w:r>
        <w:t xml:space="preserve">Newsletter</w:t>
      </w:r>
    </w:p>
    <w:p>
      <w:pPr>
        <w:spacing w:after="120"/>
      </w:pPr>
    </w:p>
    <w:p>
      <w:pPr>
        <w:pStyle w:val="ListParagraph"/>
        <w:numPr>
          <w:ilvl w:val="0"/>
          <w:numId w:val="1"/>
        </w:numPr>
        <w:spacing w:after="100"/>
      </w:pPr>
      <w:r>
        <w:t xml:space="preserve">Insight da semana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Ferramenta recomendada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Caso rapido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2026-10-15T05:29:40.733Z</dcterms:created>
  <dcterms:modified xsi:type="dcterms:W3CDTF">2026-10-15T05:29:40.733Z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